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-Югры </w:t>
      </w:r>
      <w:r>
        <w:rPr>
          <w:rStyle w:val="cat-FIOgrp-24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7"/>
          <w:szCs w:val="27"/>
        </w:rPr>
        <w:t>284</w:t>
      </w:r>
      <w:r>
        <w:rPr>
          <w:rFonts w:ascii="Times New Roman" w:eastAsia="Times New Roman" w:hAnsi="Times New Roman" w:cs="Times New Roman"/>
          <w:sz w:val="27"/>
          <w:szCs w:val="27"/>
        </w:rPr>
        <w:t>-2806/2026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возбужденное по ч.24 ст.19.5 КоАП РФ в отношении Муниципального предприятия «Жилищно-коммунальное управление» муниципального образования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сокращенное наименование, далее по тексту</w:t>
      </w:r>
      <w:r>
        <w:rPr>
          <w:rFonts w:ascii="Times New Roman" w:eastAsia="Times New Roman" w:hAnsi="Times New Roman" w:cs="Times New Roman"/>
          <w:sz w:val="27"/>
          <w:szCs w:val="27"/>
        </w:rPr>
        <w:t>-МП «ЖКУ»)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8601015197, ОГРН: 1028600512313, юридический адрес: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05.05.2025 мировым судьей судебного участка №6 Ханты-Мансийского судебного района по ч.24 ст.19.5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к штрафу в размере </w:t>
      </w:r>
      <w:r>
        <w:rPr>
          <w:rStyle w:val="cat-Sumgrp-27rplc-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 вступило в законную силу 17.05.2025,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>МП «ЖКУ»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являющееся управляющей компанией многоквартирного дома, расположенного по адресу: </w:t>
      </w:r>
      <w:r>
        <w:rPr>
          <w:rStyle w:val="cat-Addressgrp-5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ответственным за содержание и ремонт общего имущества данного многоквартирного дома,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Addressgrp-6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 до 24:00 </w:t>
      </w:r>
      <w:r>
        <w:rPr>
          <w:rFonts w:ascii="Times New Roman" w:eastAsia="Times New Roman" w:hAnsi="Times New Roman" w:cs="Times New Roman"/>
          <w:sz w:val="27"/>
          <w:szCs w:val="27"/>
        </w:rPr>
        <w:t>16.02.2026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выполнило требования 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>инспектора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Жилстройнадзора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12-5А/ЛК-2026 от 26.01.2026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остановления Госстроя РФ от 27.09.2003 №170 «Об утверждении правил и норм технической эксплуатации жилищного фонда» (далее-</w:t>
      </w:r>
      <w:r>
        <w:rPr>
          <w:rFonts w:ascii="Times New Roman" w:eastAsia="Times New Roman" w:hAnsi="Times New Roman" w:cs="Times New Roman"/>
          <w:sz w:val="27"/>
          <w:szCs w:val="27"/>
        </w:rPr>
        <w:t>ПиН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ТЭЖФ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обеспечены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целостность оконных и дверных заполнений, п</w:t>
      </w:r>
      <w:r>
        <w:rPr>
          <w:rFonts w:ascii="Times New Roman" w:eastAsia="Times New Roman" w:hAnsi="Times New Roman" w:cs="Times New Roman"/>
          <w:sz w:val="27"/>
          <w:szCs w:val="27"/>
        </w:rPr>
        <w:t>лотность притворов, механическая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прочность и работоспособность фурнитуры элемент</w:t>
      </w:r>
      <w:r>
        <w:rPr>
          <w:rFonts w:ascii="Times New Roman" w:eastAsia="Times New Roman" w:hAnsi="Times New Roman" w:cs="Times New Roman"/>
          <w:sz w:val="27"/>
          <w:szCs w:val="27"/>
        </w:rPr>
        <w:t>ов оконных и дверных заполнений;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обеспечены нормативные теплоизоляционные свойства окон, дверей в тамбуре и не лестничном марше подъезда №6 многоквартирного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жилого дома №14 по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чем </w:t>
      </w:r>
      <w:r>
        <w:rPr>
          <w:rFonts w:ascii="Times New Roman" w:eastAsia="Times New Roman" w:hAnsi="Times New Roman" w:cs="Times New Roman"/>
          <w:sz w:val="27"/>
          <w:szCs w:val="27"/>
        </w:rPr>
        <w:t>17.02.2026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совершило правонарушение, предусмотренное ч.24 ст.19.5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Законный представитель юридического лица в судебное заседание не явился, юридическое лицо извещено о месте и времени судебного заседания, об отложении судебного заседания не ходатайствовало.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судья, руководствуясь ч.2 ст.25.1 КоАП РФ, счел возможным рассмотреть дело об административном правонарушении в отсутствии законного представителя юридического лица.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п.1 Положения о службе жилищного и строительного надзора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округа-Югры, утвержденного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равительства ХМАО-Югры от 25.06.2012 №216-п,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лужба жилищного и строительного надзора </w:t>
      </w:r>
      <w:r>
        <w:rPr>
          <w:rStyle w:val="cat-Addressgrp-8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7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Жилстройнадзор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является исполнительным органом государственной власти </w:t>
      </w:r>
      <w:r>
        <w:rPr>
          <w:rStyle w:val="cat-Addressgrp-8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7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осуществляющим функции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п.6.4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Положения о Службе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Жилстройнадзор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2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осуществляет региональный государственный жилищный контроль (надзор).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в соответствии с предписанием государственного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жилищного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Жилстройнадзора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2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12-5А/ЛК-2026 от 26.01.2026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МП «ЖКУ»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следовало в 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16.02.2026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обеспечить целостность оконных и дверных заполнений, плотность притворов, механическую прочность и работоспособность фу</w:t>
      </w:r>
      <w:r>
        <w:rPr>
          <w:rFonts w:ascii="Times New Roman" w:eastAsia="Times New Roman" w:hAnsi="Times New Roman" w:cs="Times New Roman"/>
          <w:sz w:val="27"/>
          <w:szCs w:val="27"/>
        </w:rPr>
        <w:t>рнитуры элементов оконных и две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рных заполнений, обеспечить нормативные теплоизоляционные свойства окон, дверей в тамбуре и на лестничном марше подъезда №6 многоквартирного жилого дома №14 по </w:t>
      </w:r>
      <w:r>
        <w:rPr>
          <w:rStyle w:val="cat-Addressgrp-4rplc-2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0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Указанное предписание получено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представителем МП «ЖКУ» </w:t>
      </w:r>
      <w:r>
        <w:rPr>
          <w:rStyle w:val="cat-FIOgrp-25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26.01.2026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проверки исполнения 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12-</w:t>
      </w:r>
      <w:r>
        <w:rPr>
          <w:rFonts w:ascii="Times New Roman" w:eastAsia="Times New Roman" w:hAnsi="Times New Roman" w:cs="Times New Roman"/>
          <w:sz w:val="27"/>
          <w:szCs w:val="27"/>
        </w:rPr>
        <w:t>5А/ЛК-2026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требования 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>не исполнены.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казанные обстоятельства подтверждаются исследованными судом материалами дела, а именно: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04-ЖН/26-ХМ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 решения руководителя Службы </w:t>
      </w:r>
      <w:r>
        <w:rPr>
          <w:rFonts w:ascii="Times New Roman" w:eastAsia="Times New Roman" w:hAnsi="Times New Roman" w:cs="Times New Roman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sz w:val="27"/>
          <w:szCs w:val="27"/>
        </w:rPr>
        <w:t>илстройнадзора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 о проведении внеплановой выездной проверки МП «ЖКУ» от </w:t>
      </w:r>
      <w:r>
        <w:rPr>
          <w:rFonts w:ascii="Times New Roman" w:eastAsia="Times New Roman" w:hAnsi="Times New Roman" w:cs="Times New Roman"/>
          <w:sz w:val="27"/>
          <w:szCs w:val="27"/>
        </w:rPr>
        <w:t>06.03.2026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акта внеплановой выездной проверки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№12-20/ЛК-2026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12.03.2026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протокола осмотра от </w:t>
      </w:r>
      <w:r>
        <w:rPr>
          <w:rFonts w:ascii="Times New Roman" w:eastAsia="Times New Roman" w:hAnsi="Times New Roman" w:cs="Times New Roman"/>
          <w:sz w:val="27"/>
          <w:szCs w:val="27"/>
        </w:rPr>
        <w:t>10.03.2026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решения о проведении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проверки от </w:t>
      </w:r>
      <w:r>
        <w:rPr>
          <w:rFonts w:ascii="Times New Roman" w:eastAsia="Times New Roman" w:hAnsi="Times New Roman" w:cs="Times New Roman"/>
          <w:sz w:val="27"/>
          <w:szCs w:val="27"/>
        </w:rPr>
        <w:t>19.01.2026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акта внеплановой выездной проверки 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.01.2025; копией 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12-5А/ЛК-2026 от 26.01.2026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совокупности доказательств, исследованных в судебном заседании, мировой судья приходит к выводу о доказанности вины </w:t>
      </w:r>
      <w:r>
        <w:rPr>
          <w:rFonts w:ascii="Times New Roman" w:eastAsia="Times New Roman" w:hAnsi="Times New Roman" w:cs="Times New Roman"/>
          <w:sz w:val="27"/>
          <w:szCs w:val="27"/>
        </w:rPr>
        <w:t>МП «ЖКУ»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факту невыполнения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региональный государственный жилищный </w:t>
      </w:r>
      <w:r>
        <w:rPr>
          <w:rFonts w:ascii="Times New Roman" w:eastAsia="Times New Roman" w:hAnsi="Times New Roman" w:cs="Times New Roman"/>
          <w:sz w:val="27"/>
          <w:szCs w:val="27"/>
        </w:rPr>
        <w:t>надзор,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4" w:anchor="/document/12125267/entry/21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ч.1 ст.2.1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настоящим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ч.2 ст.2.1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требований предписания Службы </w:t>
      </w:r>
      <w:r>
        <w:rPr>
          <w:rFonts w:ascii="Times New Roman" w:eastAsia="Times New Roman" w:hAnsi="Times New Roman" w:cs="Times New Roman"/>
          <w:sz w:val="27"/>
          <w:szCs w:val="27"/>
        </w:rPr>
        <w:t>Жилстройнадзора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осуществляющего региональный государственный жилищный надзор.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Бездействие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МП «ЖКУ»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квалифицирует по ч.24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ст.19.5 КоАП РФ - </w:t>
      </w:r>
      <w:r>
        <w:rPr>
          <w:rFonts w:ascii="PT Serif" w:eastAsia="PT Serif" w:hAnsi="PT Serif" w:cs="PT Serif"/>
          <w:sz w:val="27"/>
          <w:szCs w:val="27"/>
        </w:rPr>
        <w:t>невыполнение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имущественное и финансовое положение юридического лица.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Правонарушение совершено против порядка управления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привлекалось </w:t>
      </w:r>
      <w:r>
        <w:rPr>
          <w:rFonts w:ascii="Times New Roman" w:eastAsia="Times New Roman" w:hAnsi="Times New Roman" w:cs="Times New Roman"/>
          <w:sz w:val="27"/>
          <w:szCs w:val="27"/>
        </w:rPr>
        <w:t>к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Смягчающими административную ответственность обстоятельствами являются признание вины в совершенном правонарушении,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Санкция ч.24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ст.19.5 КоАП РФ предусматривает административную ответственность юридических лиц в виде административного штрафа в размере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двухсот тысяч до </w:t>
      </w:r>
      <w:r>
        <w:rPr>
          <w:rStyle w:val="cat-SumInWordsgrp-29rplc-40"/>
          <w:rFonts w:ascii="Times New Roman" w:eastAsia="Times New Roman" w:hAnsi="Times New Roman" w:cs="Times New Roman"/>
          <w:sz w:val="27"/>
          <w:szCs w:val="27"/>
        </w:rPr>
        <w:t>сумма прописью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ч.3.2 ст.4.1 КоАП РФ </w:t>
      </w:r>
      <w:r>
        <w:rPr>
          <w:rFonts w:ascii="PT Serif" w:eastAsia="PT Serif" w:hAnsi="PT Serif" w:cs="PT Serif"/>
          <w:sz w:val="27"/>
          <w:szCs w:val="27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PT Serif" w:eastAsia="PT Serif" w:hAnsi="PT Serif" w:cs="PT Serif"/>
          <w:sz w:val="27"/>
          <w:szCs w:val="27"/>
        </w:rPr>
        <w:t> </w:t>
      </w:r>
      <w:hyperlink r:id="rId5" w:anchor="/document/12125267/entry/2000" w:history="1">
        <w:r>
          <w:rPr>
            <w:rFonts w:ascii="PT Serif" w:eastAsia="PT Serif" w:hAnsi="PT Serif" w:cs="PT Serif"/>
            <w:color w:val="0000EE"/>
            <w:sz w:val="27"/>
            <w:szCs w:val="27"/>
          </w:rPr>
          <w:t>раздела II</w:t>
        </w:r>
      </w:hyperlink>
      <w:r>
        <w:rPr>
          <w:rFonts w:ascii="PT Serif" w:eastAsia="PT Serif" w:hAnsi="PT Serif" w:cs="PT Serif"/>
          <w:sz w:val="27"/>
          <w:szCs w:val="27"/>
        </w:rPr>
        <w:t> </w:t>
      </w:r>
      <w:r>
        <w:rPr>
          <w:rFonts w:ascii="PT Serif" w:eastAsia="PT Serif" w:hAnsi="PT Serif" w:cs="PT Serif"/>
          <w:sz w:val="27"/>
          <w:szCs w:val="27"/>
        </w:rPr>
        <w:t xml:space="preserve">настоящего Кодекса либо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административного штрафа для юридических лиц составляет не </w:t>
      </w:r>
      <w:r>
        <w:rPr>
          <w:rStyle w:val="cat-SumInWordsgrp-30rplc-41"/>
          <w:rFonts w:ascii="PT Serif" w:eastAsia="PT Serif" w:hAnsi="PT Serif" w:cs="PT Serif"/>
          <w:sz w:val="27"/>
          <w:szCs w:val="27"/>
        </w:rPr>
        <w:t>сумма прописью</w:t>
      </w:r>
      <w:r>
        <w:rPr>
          <w:rFonts w:ascii="PT Serif" w:eastAsia="PT Serif" w:hAnsi="PT Serif" w:cs="PT Serif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PT Serif" w:eastAsia="PT Serif" w:hAnsi="PT Serif" w:cs="PT Serif"/>
          <w:sz w:val="27"/>
          <w:szCs w:val="27"/>
        </w:rPr>
        <w:t>При назначении административ</w:t>
      </w:r>
      <w:r>
        <w:rPr>
          <w:rFonts w:ascii="PT Serif" w:eastAsia="PT Serif" w:hAnsi="PT Serif" w:cs="PT Serif"/>
          <w:sz w:val="27"/>
          <w:szCs w:val="27"/>
        </w:rPr>
        <w:t xml:space="preserve">ного наказания в соответствии с </w:t>
      </w:r>
      <w:hyperlink r:id="rId5" w:anchor="/document/12125267/entry/41032" w:history="1">
        <w:r>
          <w:rPr>
            <w:rFonts w:ascii="PT Serif" w:eastAsia="PT Serif" w:hAnsi="PT Serif" w:cs="PT Serif"/>
            <w:color w:val="0000EE"/>
            <w:sz w:val="27"/>
            <w:szCs w:val="27"/>
          </w:rPr>
          <w:t>частью 3.2</w:t>
        </w:r>
      </w:hyperlink>
      <w:r>
        <w:rPr>
          <w:rFonts w:ascii="PT Serif" w:eastAsia="PT Serif" w:hAnsi="PT Serif" w:cs="PT Serif"/>
          <w:sz w:val="27"/>
          <w:szCs w:val="27"/>
        </w:rPr>
        <w:t xml:space="preserve"> </w:t>
      </w:r>
      <w:r>
        <w:rPr>
          <w:rFonts w:ascii="PT Serif" w:eastAsia="PT Serif" w:hAnsi="PT Serif" w:cs="PT Serif"/>
          <w:sz w:val="27"/>
          <w:szCs w:val="27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</w:t>
      </w:r>
      <w:r>
        <w:rPr>
          <w:rFonts w:ascii="PT Serif" w:eastAsia="PT Serif" w:hAnsi="PT Serif" w:cs="PT Serif"/>
          <w:sz w:val="27"/>
          <w:szCs w:val="27"/>
        </w:rPr>
        <w:t xml:space="preserve">ующей статьей или частью статьи </w:t>
      </w:r>
      <w:hyperlink r:id="rId5" w:anchor="/document/12125267/entry/2000" w:history="1">
        <w:r>
          <w:rPr>
            <w:rFonts w:ascii="PT Serif" w:eastAsia="PT Serif" w:hAnsi="PT Serif" w:cs="PT Serif"/>
            <w:color w:val="0000EE"/>
            <w:sz w:val="27"/>
            <w:szCs w:val="27"/>
          </w:rPr>
          <w:t>раздела II</w:t>
        </w:r>
      </w:hyperlink>
      <w:r>
        <w:rPr>
          <w:rFonts w:ascii="PT Serif" w:eastAsia="PT Serif" w:hAnsi="PT Serif" w:cs="PT Serif"/>
          <w:sz w:val="27"/>
          <w:szCs w:val="27"/>
        </w:rPr>
        <w:t xml:space="preserve"> </w:t>
      </w:r>
      <w:r>
        <w:rPr>
          <w:rFonts w:ascii="PT Serif" w:eastAsia="PT Serif" w:hAnsi="PT Serif" w:cs="PT Serif"/>
          <w:sz w:val="27"/>
          <w:szCs w:val="27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установленных обстоятельств дела, данных о 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</w:t>
      </w:r>
      <w:r>
        <w:rPr>
          <w:rFonts w:ascii="Times New Roman" w:eastAsia="Times New Roman" w:hAnsi="Times New Roman" w:cs="Times New Roman"/>
          <w:sz w:val="27"/>
          <w:szCs w:val="27"/>
        </w:rPr>
        <w:t>финансовое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положение юридического лица,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МП «ЖКУ»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менее минимального размера административного штрафа, предусмотренного ч.24 ст.19.5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ст.ст.23.1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29.10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Муниципальное предприятие «Жилищно-коммунальное управление» муниципального образования </w:t>
      </w:r>
      <w:r>
        <w:rPr>
          <w:rStyle w:val="cat-Addressgrp-2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ч.24 ст.19.5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ему наказание в виде штрафа в размере </w:t>
      </w:r>
      <w:r>
        <w:rPr>
          <w:rStyle w:val="cat-Sumgrp-28rplc-4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Реквизиты для оплаты штрафа: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</w:t>
      </w:r>
      <w:r>
        <w:rPr>
          <w:rStyle w:val="cat-Addressgrp-9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Жилстройнадзор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04872005650)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ИНН 8601011604 КПП 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БИК: 007162163 </w:t>
      </w:r>
      <w:r>
        <w:rPr>
          <w:rFonts w:ascii="Times New Roman" w:eastAsia="Times New Roman" w:hAnsi="Times New Roman" w:cs="Times New Roman"/>
          <w:sz w:val="27"/>
          <w:szCs w:val="27"/>
        </w:rPr>
        <w:t>Единый казначейский счет №</w:t>
      </w:r>
      <w:r>
        <w:rPr>
          <w:rFonts w:ascii="Times New Roman" w:eastAsia="Times New Roman" w:hAnsi="Times New Roman" w:cs="Times New Roman"/>
          <w:sz w:val="27"/>
          <w:szCs w:val="27"/>
        </w:rPr>
        <w:t>40102810245370000007 Казначейский счет №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>,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 ОКТМО: 71871000 </w:t>
      </w:r>
      <w:r>
        <w:rPr>
          <w:rFonts w:ascii="Times New Roman" w:eastAsia="Times New Roman" w:hAnsi="Times New Roman" w:cs="Times New Roman"/>
          <w:sz w:val="27"/>
          <w:szCs w:val="27"/>
        </w:rPr>
        <w:t>КБК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420 1 16 01193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01 0005 140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0316373323032026150533530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10 дней со дня получения его копии.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6rplc-5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</w:t>
      </w:r>
      <w:r>
        <w:rPr>
          <w:rFonts w:ascii="Times New Roman" w:eastAsia="Times New Roman" w:hAnsi="Times New Roman" w:cs="Times New Roman"/>
          <w:sz w:val="27"/>
          <w:szCs w:val="27"/>
        </w:rPr>
        <w:t>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Style w:val="cat-FIOgrp-26rplc-53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0183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4rplc-3">
    <w:name w:val="cat-FIO grp-2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Sumgrp-27rplc-8">
    <w:name w:val="cat-Sum grp-27 rplc-8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8rplc-19">
    <w:name w:val="cat-Address grp-8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Addressgrp-8rplc-22">
    <w:name w:val="cat-Address grp-8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Addressgrp-7rplc-24">
    <w:name w:val="cat-Address grp-7 rplc-24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SumInWordsgrp-29rplc-40">
    <w:name w:val="cat-SumInWords grp-29 rplc-40"/>
    <w:basedOn w:val="DefaultParagraphFont"/>
  </w:style>
  <w:style w:type="character" w:customStyle="1" w:styleId="cat-SumInWordsgrp-30rplc-41">
    <w:name w:val="cat-SumInWords grp-30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Sumgrp-28rplc-43">
    <w:name w:val="cat-Sum grp-28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FIOgrp-26rplc-52">
    <w:name w:val="cat-FIO grp-26 rplc-52"/>
    <w:basedOn w:val="DefaultParagraphFont"/>
  </w:style>
  <w:style w:type="character" w:customStyle="1" w:styleId="cat-FIOgrp-26rplc-53">
    <w:name w:val="cat-FIO grp-2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D448-41C0-4773-89EA-ACAFBC7A24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